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color w:val="002060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Залму Омарова,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sz w:val="28"/>
          <w:szCs w:val="28"/>
        </w:rPr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sz w:val="28"/>
          <w:szCs w:val="28"/>
        </w:rPr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21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>. Приказ Минобрнауки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sz w:val="28"/>
          <w:szCs w:val="28"/>
        </w:rPr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  <w:t>А.В.Зырянова</w:t>
      </w:r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  <w:t>Т.В.Куприянова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Приложение</w:t>
      </w:r>
      <w:r w:rsidRPr="001266F2">
        <w:rPr>
          <w:rFonts w:ascii="Cambria" w:hAnsi="Cambria" w:cs="Cambria"/>
        </w:rPr>
        <w:br/>
        <w:t>к письму Минпросвещения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элемента системы дополнительного профессионального образования (подсистемы последипломного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квалификации;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предусматривать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интеграция в национальную систему профессионального роста педагогических работников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работников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Реализация системы (целевой модели) наставничества педагогических работников имеет свои особенности для образовательных организаций общего, среднего профессионального и 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Система (целевая модель) наставничества в системе общего образования ориентирована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"Молодые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r w:rsidRPr="009922DE">
        <w:rPr>
          <w:sz w:val="24"/>
          <w:szCs w:val="24"/>
        </w:rPr>
        <w:t>Самопроектирование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содействовать повышению правового и социально-профессионального статуса наставников,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обеспечивать соответствующую помощь 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недирективных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педагогических работников, развитию стратегических партнерских отношений в сфере наставничества на институциональном и внеинституциональном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добровольности,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t>принцип системности и стратегической целостности предполагает разработку и реализацию системы (целевой модели)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результативности.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персонализированных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руководителя, разделяющего ценности отечественной системы образования, приоритетные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демонстрируют образцы лучших практик преподавания, профессионального взаимодействия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подготовку локальных нормативных актов, программ, сопровождающих процесс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стажировочных площадок, сетевых сообществ, педагогических ассоциаций и т.д., направленную на поддержку наставничества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Материально-технические условия и ресурсы образовательной организации могут включать: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рекреационную зону (модульный класс, комната отдыха) для проведения индивидуальных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доску объявлений для размещения открытой информации по наставничеству педагогических работников (в т.ч.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Wi-Fi;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Материальное (денежное) стимулирование предполагает возможность образовательным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конференций наставников на региональном и федеральном уровнях; проведение конкурсов профессионального мастерства и т.д.; организация сообществ (ассоциаций) наставников, проведение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грантовых программах, поддерживающих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Минпросвещения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Минпросвещения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Психолого-педагогические условия включают меры по созданию атмосферы психологического комфорта и доверия, взаимопомощи и уважения в педагогическом коллективе. Такая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профессионально-личностное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широкое использование методик и технологий рефлексивно-ценностного и эмоционально-ценностного отношения к участникам системы наставничества, которые способствуют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психологическую поддержку формируемым парам наставников и наставляемых посредством проведения психологических тренингов, направленных на развитие эмпатических способностей, применения акмеологических практик, укрепляющих профессиональное здоровье специалистов, способствующих преодолению жизненных и профессиональных 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сформироваться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Система (целевая модель) наставничества педагогических работников представляет собой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компонентов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Все структурные компоненты системы (целевой модели) наставничества распределяются на два контура: внутренний (контур образовательной организации) и внешний по отношению к ней. Это инвариантная составляющая модели, т.е. неизменная, присущая всем образовательным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Во внутреннем контуре концентрируются структурные компоненты, позволяющие непосредственно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На внешнем контуре представлены структурные компоненты различных уровней управления образования, которые способствуют реализации системы (целевой модели) наставничества.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уровнями внешнего контура представляется довольно подвижной, что позволяет применить принцип вариативности при реализации системы. Далеко не в каждой образовательной организации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модели) наставничества,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Осуществляет организационное, учебно-методическое, материально-техническое, инфраструктурное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Общие руководство и контроль за организацией и реализацией системы (целевой модели)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 xml:space="preserve">, который назначается руководителем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организовывает разработку персонализированных программ наставничества; - осуществляет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инициирует публичные мероприятия по популяризации системы наставничества педагогических работников и др.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 xml:space="preserve">общественный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руководства методической (научно-методической) деятельностью по реализации персонализированных программ наставничества. Руководитель совета наставников может входить в созданные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и апробации персонализированных программ наставничества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конференциям,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персонализированных программ наставничества педагогических работников в образовательной организации;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мониторинговых и оценочных процедурах хода реализации персонализированных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разработке системы поощрения (материального и нематериального стимулирования)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работников.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Оказывают содействие при внедрении (применении) системы (целевой модели) наставничества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информационно-аналитического, научно-методического, учебно-методического сопровождения реализации дополнительных профессиональных программ (повышения квалификации) по направлению "Наставничество педагогических работников в образовательных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стажировочных площадок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тьюторского сопровождения индивидуальных образовательных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облегчать перенос приобретенных (усовершенствованных) профессиональных компетенций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диссеминировать новые рациональные и эффективные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Тьюторство является одним из элементов системы наставничества, формой сопровождения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персональное сопровождение педагогических работников в системе общего, среднего профессионального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Тьютор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работника. Он обеспечивает содержательное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тьютора, который должен владеть содержанием программ федерального реестра, находящимся в зоне его профессиональной компетентности, в регионе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развития педагога, об имеющихся стажировочных площадках, ресурсах неформального и информального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Алгоритм разработки индивидуального образовательного маршрута как образовательной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Самоопределение (саморефлексия)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копирования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профессиональных затруднений и дефицитов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в) участие в разработке и реализации инновационных программ и педагогических проектов;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Реализация дорожной карты (фиксируются достижения педагога по каждому из мероприятий в виде конкретного педагогического продукта (пакет педагогических диагностик, методические рекомендации, технологии, методики, разработки занятий, сценарии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Корректировка дорожной карты (параллельно с ее реализацией) - дополнения и изменения, вносимые в дорожную карту под влиянием изменений, происходящих в образовании,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разработка и сопровождение применения системы (целевой модели)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проводить апробацию и осуществлять сопровождение школ, реализующих систему (целевую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вести федеральный реестр образовательных программ дополнительного профессионального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наставничеству;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различные мероприятия (вебинары,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проведение фундаментальных и прикладных исследований, трансфер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способствовать упрочению связей между системой высшего педагогического образования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разрабатывать необходимое научно-методическое и учебно-методическое сопровождение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общеобразовательной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специалистов, для педагогов со значительным стажем работы и реализовывать их на курсах повышения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   </w:t>
      </w:r>
      <w:r w:rsidRPr="00FE2947">
        <w:rPr>
          <w:b/>
          <w:sz w:val="24"/>
          <w:szCs w:val="24"/>
        </w:rPr>
        <w:t xml:space="preserve">(целевой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Внедрение и реализация системы (целевой модели) наставничества будет способствовать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(целевой модели) наставничества будет создана эффективная среда наставничества, включающая: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непрерывный профессиональный рост, личностное развитие и самореализацию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цифровизации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обмен инновационным опытом в сфере практик наставничества педагогических работников.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Для оценки эффективности наставнической деятельности можно рекомендовать мониторинг,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результативность реализации персонализированной программы наставничества и сопутствующие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наставляемым;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мотивированности и осознанности наставляемых в вопросах саморазвития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качество и темпы адаптации молодого/менее опытного/сменившего место работы специалиста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увеличение числа педагогов, планирующих стать наставниками и наставляемыми в ближайшем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Отсутствие у части педагогов восприятия наставничества как механизма профессионального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Недостаточно высокое качество наставнической деятельности и формализм в выполнении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степень взаимодействия всех элементов двухконтурной структуры системы (целевой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BC534C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8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На основании распоряжения Минпросвещения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соответствии с письмом Минпросвещения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(далее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приложению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информационную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мониторинга в Минобрнауки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 Руководителям муниципальных органов управления образованием, руководителям подведомственных Минобрнауки РД организаций, руководителям профессиональных образовательных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организациями дополнительного образования, профессиональными образовательными организациями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организаций,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образовательных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образовательных организаций, предприятий и организаций Республики Дагестан, государственных учреждений культуры и спорта, юридических и физических лиц, чья деятельность связана с образовательной,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реализации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6. ГКУ РД «Информационно-аналитический центр» (Алиев М. Н.) разместить настоящий приказ на официальном сайте Минобрнауки РД </w:t>
      </w:r>
      <w:hyperlink r:id="rId19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7. Контроль за исполнением настоящего приказа возложить на заместителя министра образования и науки Республики Дагестан Далгатову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Я.Бучаев</w:t>
      </w:r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соответствии с пунктом 1.2. приказа Минобрнауки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Минобрнауки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стажировочными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Минпросвещения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Заключительный этап направлен на мониторинг результатов внедрения (применения) системы (целевой модели) наставничества, рефлексию (саморефлексию),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вебинаров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эмпатией,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интенсивы,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взаимопосещение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вебинарах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образоват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кванториумы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члены общественных организаций (волонтерских, РДШ, молодежного объединения "Юнармия", некоммерческой организации "Союз "Молодые профессионалы", которая представляет Россию в международной организации WorldSkillsInternational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сотрудники музеев, библиотек, центров военно-патриотического воспитания, члены общественных организаций (волонтерских, РДШ, молодежное объединение "Юнармия"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кванториумов,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Кирпатрика,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поведения и умений на практике могут применяться анкеты, опросники, непосредственное невключенное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>Возможность подстраивать модель Кирпатрика под новые условия работы, самостоятельно выбирать уровни оценки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соразвитие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внеорганизационный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1.1. Настоящее Положение о системе наставничества педагогических работников в образовательной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стажировочных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</w:t>
      </w:r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1701"/>
        <w:gridCol w:w="1695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вебинарах,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взаимообучения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Модель наставничества</w:t>
            </w:r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(Peer-to-peer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(Group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Флэш-наставничество (Flash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(Speed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(Reverse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(Virtual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0"/>
          <w:footerReference w:type="first" r:id="rId21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sz w:val="28"/>
          <w:szCs w:val="28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r w:rsidRPr="005757EE">
        <w:rPr>
          <w:b/>
          <w:color w:val="385623" w:themeColor="accent6" w:themeShade="80"/>
          <w:sz w:val="28"/>
          <w:szCs w:val="28"/>
        </w:rPr>
        <w:t xml:space="preserve">бразцы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sz w:val="28"/>
          <w:szCs w:val="28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 xml:space="preserve">именуемый(ая)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497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2.5 учитель Толкалина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согласие Толкалиной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>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в</w:t>
      </w:r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трудовым договором от «____» __________ 20___ г. No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2410"/>
        <w:gridCol w:w="1559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Решение принято: «за» – ____ ,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sz w:val="28"/>
          <w:szCs w:val="28"/>
        </w:rPr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Управлению кадровой политики Управления образования разработать и утвердить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Включить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деятельности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 xml:space="preserve">еализацию Дорожных карт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разработку примерной базы распорядительных документов образовательных организаций (приказов) по внедрению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списка кураторов внедрения Целевой модели на уровне образовательных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вебинара по внедрению целевой модели в образовательных организациях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кураторов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sz w:val="28"/>
          <w:szCs w:val="28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профессионального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диплом,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городской/республиканский,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(школьный, городской/муниципальный, республиканский,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обученности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sz w:val="28"/>
          <w:szCs w:val="28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"/>
        <w:gridCol w:w="3721"/>
        <w:gridCol w:w="1501"/>
        <w:gridCol w:w="1844"/>
        <w:gridCol w:w="2665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деятельности/разделы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уровня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педагогической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основания для построения форматов наставничества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выявлению профессионального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внесение коррективов в ранее разработанные программы наставничества.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школе за реализацию Модели наставничества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наставничества: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Разработка рекомендаций по организации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рекомендаций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доступности к сетевому пространству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наставляемых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организациях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организационным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педагогов-профессионалов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деятельности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наставнических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утверждение «Положения о наставничестве»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нормативной и регламентирующей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нормативных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деятельности наставнических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деятельности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необходимости)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программ, определение эффективных технологий и методик взаимодействия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эффективности деятельности наставничества, определение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механизмов стимулирования наставнической деятельности: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размере ----% к заработной плате по учреждению; дополнительные баллы при премировании; дополнительные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учредители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период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sz w:val="28"/>
          <w:szCs w:val="28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4172"/>
        <w:gridCol w:w="939"/>
        <w:gridCol w:w="1187"/>
        <w:gridCol w:w="3265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развития лучших практик взаимообучения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sz w:val="28"/>
          <w:szCs w:val="28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sz w:val="24"/>
          <w:szCs w:val="24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Система профессиональной поддержки: ДИРО, ЦНППМ ДИРО (функции менеджера, функции преподавателя, функции аналитика, функции тьютора.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саморефлексии.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службы, региональными и муниципальными тьюторами/координаторами/наставниками, педагогами – методистами Регионального методического актива. Тьюторы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ориентированности, тренинговости, интерактивности, проективности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>ндивидуальные и групповые тьюторские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межаттестационный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Владение оперативными, объективными и достаточными сведениями об уровне сформированности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вебинаров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Закрепление тьютора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Семинары (вебинары)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приглашение на курсы, семинары, вебинары;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рисвоение логина и пароля по взаимодействию 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вебинаров в on-line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Посещение и взаимопосещение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вебинаров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Тьютор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тьютором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Реквизиты распоряжения Минобрнауки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прохождения диагностики уровня сформированности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здоровьесберегающих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системно-деятельностного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2203EC">
        <w:tc>
          <w:tcPr>
            <w:tcW w:w="6374" w:type="dxa"/>
            <w:gridSpan w:val="2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2203EC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2203EC">
        <w:tc>
          <w:tcPr>
            <w:tcW w:w="6374" w:type="dxa"/>
            <w:gridSpan w:val="2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2203EC">
        <w:tc>
          <w:tcPr>
            <w:tcW w:w="1644" w:type="dxa"/>
            <w:vMerge w:val="restart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(диро.рф);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>ФГАОУ ДПО «Академия Минпросвещения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2203EC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2203EC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2203EC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Низкий уровень сформированности цифровых компетенций.</w:t>
            </w:r>
          </w:p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организаций, определенных Минпросвещения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2203EC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2203EC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>Методический видеоурок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Недостаточный уровень сформированности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2203EC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>Формирование метапредметных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Вебинар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Яндекс.Учебник.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Тьютор/специалист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sz w:val="28"/>
          <w:szCs w:val="28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стажировочных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Минпросвещения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результатов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 уровень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Профессиональнее развитие в области предметных компетенций на основе неформального и информального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фасетных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самопрезентации;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цифровизации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кypсов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дефицитарного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sz w:val="28"/>
          <w:szCs w:val="28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2203EC">
        <w:tc>
          <w:tcPr>
            <w:tcW w:w="561" w:type="dxa"/>
          </w:tcPr>
          <w:p w:rsidR="00127E1F" w:rsidRPr="00343B8F" w:rsidRDefault="00127E1F" w:rsidP="002203EC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2203EC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2203EC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2203EC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2203EC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Pr="00343B8F" w:rsidRDefault="00127E1F" w:rsidP="002203EC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2203EC">
            <w:pPr>
              <w:rPr>
                <w:b/>
              </w:rPr>
            </w:pPr>
            <w:r w:rsidRPr="00CD5F70">
              <w:rPr>
                <w:b/>
              </w:rPr>
              <w:t>Подготови</w:t>
            </w:r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2203EC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</w:tcPr>
          <w:p w:rsidR="00127E1F" w:rsidRPr="00343B8F" w:rsidRDefault="00127E1F" w:rsidP="002203EC">
            <w:r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2203EC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2203EC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2203EC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2203EC">
            <w:r>
              <w:t>Проектиро-вочный</w:t>
            </w:r>
          </w:p>
        </w:tc>
        <w:tc>
          <w:tcPr>
            <w:tcW w:w="6095" w:type="dxa"/>
          </w:tcPr>
          <w:p w:rsidR="00127E1F" w:rsidRPr="00343B8F" w:rsidRDefault="00127E1F" w:rsidP="002203EC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Pr="00343B8F" w:rsidRDefault="00127E1F" w:rsidP="002203EC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2203EC">
            <w:r>
              <w:t>Реализаци-онный</w:t>
            </w:r>
          </w:p>
        </w:tc>
        <w:tc>
          <w:tcPr>
            <w:tcW w:w="6095" w:type="dxa"/>
          </w:tcPr>
          <w:p w:rsidR="00127E1F" w:rsidRPr="00343B8F" w:rsidRDefault="00127E1F" w:rsidP="002203EC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Default="00127E1F" w:rsidP="002203EC">
            <w:r>
              <w:t>5.</w:t>
            </w:r>
          </w:p>
          <w:p w:rsidR="00127E1F" w:rsidRPr="00343B8F" w:rsidRDefault="00127E1F" w:rsidP="002203EC"/>
        </w:tc>
        <w:tc>
          <w:tcPr>
            <w:tcW w:w="1561" w:type="dxa"/>
            <w:vMerge w:val="restart"/>
          </w:tcPr>
          <w:p w:rsidR="00127E1F" w:rsidRPr="00343B8F" w:rsidRDefault="00127E1F" w:rsidP="002203EC">
            <w:r>
              <w:t>Рефлексивно-аналитичес-кий</w:t>
            </w:r>
          </w:p>
        </w:tc>
        <w:tc>
          <w:tcPr>
            <w:tcW w:w="6095" w:type="dxa"/>
          </w:tcPr>
          <w:p w:rsidR="00127E1F" w:rsidRDefault="00127E1F" w:rsidP="002203EC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2203EC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Определение формата предъявления результата продвижения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9D5C77" w:rsidRDefault="00127E1F" w:rsidP="002203EC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2203EC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2203EC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r w:rsidRPr="00DA4128">
          <w:rPr>
            <w:rStyle w:val="a9"/>
            <w:sz w:val="28"/>
            <w:szCs w:val="28"/>
            <w:lang w:val="en-US"/>
          </w:rPr>
          <w:t>ru</w:t>
        </w:r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343B8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FB0" w:rsidRDefault="00B71FB0" w:rsidP="001266F2">
      <w:pPr>
        <w:spacing w:after="0" w:line="240" w:lineRule="auto"/>
      </w:pPr>
      <w:r>
        <w:separator/>
      </w:r>
    </w:p>
  </w:endnote>
  <w:endnote w:type="continuationSeparator" w:id="0">
    <w:p w:rsidR="00B71FB0" w:rsidRDefault="00B71FB0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7346205"/>
      <w:docPartObj>
        <w:docPartGallery w:val="Page Numbers (Bottom of Page)"/>
        <w:docPartUnique/>
      </w:docPartObj>
    </w:sdtPr>
    <w:sdtContent>
      <w:p w:rsidR="00606E75" w:rsidRDefault="00606E7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CAF">
          <w:rPr>
            <w:noProof/>
          </w:rPr>
          <w:t>5</w:t>
        </w:r>
        <w:r>
          <w:fldChar w:fldCharType="end"/>
        </w:r>
      </w:p>
    </w:sdtContent>
  </w:sdt>
  <w:p w:rsidR="00606E75" w:rsidRDefault="00606E7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6606898"/>
      <w:docPartObj>
        <w:docPartGallery w:val="Page Numbers (Bottom of Page)"/>
        <w:docPartUnique/>
      </w:docPartObj>
    </w:sdtPr>
    <w:sdtContent>
      <w:p w:rsidR="00606E75" w:rsidRDefault="00606E75">
        <w:pPr>
          <w:pStyle w:val="ac"/>
          <w:jc w:val="center"/>
        </w:pPr>
      </w:p>
    </w:sdtContent>
  </w:sdt>
  <w:p w:rsidR="00B71FB0" w:rsidRDefault="00B71FB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FB0" w:rsidRDefault="00B71FB0" w:rsidP="001266F2">
      <w:pPr>
        <w:spacing w:after="0" w:line="240" w:lineRule="auto"/>
      </w:pPr>
      <w:r>
        <w:separator/>
      </w:r>
    </w:p>
  </w:footnote>
  <w:footnote w:type="continuationSeparator" w:id="0">
    <w:p w:rsidR="00B71FB0" w:rsidRDefault="00B71FB0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FB0" w:rsidRDefault="00B71FB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 w15:restartNumberingAfterBreak="0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 w15:restartNumberingAfterBreak="0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 w15:restartNumberingAfterBreak="0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 w15:restartNumberingAfterBreak="0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 w15:restartNumberingAfterBreak="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 w15:restartNumberingAfterBreak="0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 w15:restartNumberingAfterBreak="0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 w15:restartNumberingAfterBreak="0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autoHyphenation/>
  <w:characterSpacingControl w:val="doNotCompress"/>
  <w:hdrShapeDefaults>
    <o:shapedefaults v:ext="edit" spidmax="41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178133B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dagminobr.ru/documenty/prikazi_minobrnauki_rd/prikaz_0502123322_ot_14_marta_2022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footer" Target="footer2.xml"/><Relationship Id="rId34" Type="http://schemas.microsoft.com/office/2007/relationships/hdphoto" Target="media/hdphoto4.wdp"/><Relationship Id="rId42" Type="http://schemas.openxmlformats.org/officeDocument/2006/relationships/image" Target="media/image21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0611183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://www.dagminobr.ru/" TargetMode="External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2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hyperlink" Target="mailto:NastavnikRMC@cpmrd.ru" TargetMode="External"/><Relationship Id="rId20" Type="http://schemas.openxmlformats.org/officeDocument/2006/relationships/footer" Target="footer1.xml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10" Type="http://schemas.openxmlformats.org/officeDocument/2006/relationships/image" Target="media/image2.png"/><Relationship Id="rId31" Type="http://schemas.microsoft.com/office/2007/relationships/hdphoto" Target="media/hdphoto3.wdp"/><Relationship Id="rId44" Type="http://schemas.openxmlformats.org/officeDocument/2006/relationships/image" Target="media/image22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234EC-2F4E-4A11-A383-450C7B5FD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110</Pages>
  <Words>34239</Words>
  <Characters>195166</Characters>
  <Application>Microsoft Office Word</Application>
  <DocSecurity>0</DocSecurity>
  <Lines>1626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Кычкина Антонина Анатольевна</cp:lastModifiedBy>
  <cp:revision>119</cp:revision>
  <cp:lastPrinted>2022-12-12T11:56:00Z</cp:lastPrinted>
  <dcterms:created xsi:type="dcterms:W3CDTF">2022-12-07T13:13:00Z</dcterms:created>
  <dcterms:modified xsi:type="dcterms:W3CDTF">2022-12-12T15:25:00Z</dcterms:modified>
</cp:coreProperties>
</file>